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20F98F-518C-438C-A7ED-CCA657B2359F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